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88" w:rsidRPr="00187904" w:rsidRDefault="00187904" w:rsidP="001879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744AA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Gráfico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1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. Función de supervivencia. Días de permanencia de los trabajadores en el mismo episodio de empleo (porcentaje sobre el total). </w:t>
      </w:r>
    </w:p>
    <w:p w:rsidR="00187904" w:rsidRDefault="00187904">
      <w:r w:rsidRPr="00187904">
        <w:rPr>
          <w:noProof/>
        </w:rPr>
        <w:drawing>
          <wp:inline distT="0" distB="0" distL="0" distR="0">
            <wp:extent cx="5760085" cy="335341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Pr="00187904" w:rsidRDefault="00187904" w:rsidP="001879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44AA2"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 xml:space="preserve">Gráfico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2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 Función de supervivencia. Días de permanencia de los trabajadores en el mismo episodio de empleo (porcentaje por cohortes)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187904" w:rsidRDefault="00187904">
      <w:r w:rsidRPr="00187904">
        <w:rPr>
          <w:noProof/>
        </w:rPr>
        <w:drawing>
          <wp:inline distT="0" distB="0" distL="0" distR="0">
            <wp:extent cx="5760085" cy="3718217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71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Pr="00187904" w:rsidRDefault="00187904" w:rsidP="001879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 xml:space="preserve">Gráfico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3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 Función de supervivencia. Días de permanencia de los trabajadores en el mismo episodio de empleo (porcentaje por tipo de contrato)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187904" w:rsidRDefault="00187904">
      <w:r w:rsidRPr="00187904">
        <w:rPr>
          <w:noProof/>
        </w:rPr>
        <w:drawing>
          <wp:inline distT="0" distB="0" distL="0" distR="0">
            <wp:extent cx="5715000" cy="37465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Default="00187904"/>
    <w:p w:rsidR="00187904" w:rsidRPr="00187904" w:rsidRDefault="00187904" w:rsidP="001879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 xml:space="preserve">Gráfico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4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 Función de supervivencia. Días de permanencia de los trabajadores en el mismo episodio de empleo (porcentaje por tipo de trabajo y cualificación)</w:t>
      </w:r>
    </w:p>
    <w:p w:rsidR="00187904" w:rsidRDefault="00187904">
      <w:r w:rsidRPr="00187904">
        <w:rPr>
          <w:noProof/>
        </w:rPr>
        <w:drawing>
          <wp:inline distT="0" distB="0" distL="0" distR="0">
            <wp:extent cx="5753100" cy="37465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3062BF" w:rsidRPr="00A812C3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744AA2">
        <w:rPr>
          <w:rFonts w:ascii="Times New Roman" w:hAnsi="Times New Roman"/>
          <w:b/>
          <w:sz w:val="20"/>
          <w:szCs w:val="20"/>
        </w:rPr>
        <w:lastRenderedPageBreak/>
        <w:t xml:space="preserve">Tabla </w:t>
      </w:r>
      <w:r>
        <w:rPr>
          <w:rFonts w:ascii="Times New Roman" w:hAnsi="Times New Roman"/>
          <w:b/>
          <w:sz w:val="20"/>
          <w:szCs w:val="20"/>
        </w:rPr>
        <w:t>I</w:t>
      </w:r>
      <w:r w:rsidRPr="00A812C3">
        <w:rPr>
          <w:rFonts w:ascii="Times New Roman" w:hAnsi="Times New Roman"/>
          <w:b/>
          <w:sz w:val="20"/>
          <w:szCs w:val="20"/>
        </w:rPr>
        <w:t xml:space="preserve">. Variables que intervienen en la función de </w:t>
      </w:r>
      <w:r>
        <w:rPr>
          <w:rFonts w:ascii="Times New Roman" w:hAnsi="Times New Roman"/>
          <w:b/>
          <w:sz w:val="20"/>
          <w:szCs w:val="20"/>
        </w:rPr>
        <w:t>supervivencia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68"/>
        <w:gridCol w:w="2389"/>
        <w:gridCol w:w="1037"/>
        <w:gridCol w:w="2417"/>
      </w:tblGrid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29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Observaciones</w:t>
            </w:r>
          </w:p>
        </w:tc>
        <w:tc>
          <w:tcPr>
            <w:tcW w:w="56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sz w:val="20"/>
                <w:szCs w:val="20"/>
              </w:rPr>
              <w:t>Media</w:t>
            </w:r>
          </w:p>
        </w:tc>
        <w:tc>
          <w:tcPr>
            <w:tcW w:w="131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Desviación estándar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Hombre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707304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0,492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40-55 años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644658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0,335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0,472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30-39 años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644658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0,374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0,484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Tiempo completo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707476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0,330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Indefinido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626071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0,191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0,393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Manual cualif. Media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586071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0,319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Manual cualif. Alta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586071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0,213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0,410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Baja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586071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0,373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Media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586071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0,210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0,407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Alta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586071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0,140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0,347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30-45 años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707304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0,447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0,497</w:t>
            </w:r>
          </w:p>
        </w:tc>
      </w:tr>
      <w:tr w:rsidR="003062BF" w:rsidRPr="00A812C3" w:rsidTr="00DF5CA2">
        <w:trPr>
          <w:cantSplit/>
          <w:trHeight w:val="227"/>
        </w:trPr>
        <w:tc>
          <w:tcPr>
            <w:tcW w:w="182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Menos de 30 años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707304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0,479</w:t>
            </w:r>
          </w:p>
        </w:tc>
      </w:tr>
    </w:tbl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05F70">
        <w:rPr>
          <w:rFonts w:ascii="Times New Roman" w:hAnsi="Times New Roman"/>
          <w:b/>
          <w:sz w:val="20"/>
          <w:szCs w:val="20"/>
        </w:rPr>
        <w:t>Fuente: Elaboración propia, a partir de la MCVL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Pr="00A812C3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Tabla II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 Variables que explican la probabilidad de no continuar en el mismo episodio de empleo</w:t>
      </w:r>
      <w:r w:rsidRPr="00A812C3">
        <w:rPr>
          <w:rFonts w:ascii="Times New Roman" w:eastAsia="Calibri" w:hAnsi="Times New Roman"/>
          <w:b/>
          <w:sz w:val="20"/>
          <w:szCs w:val="20"/>
          <w:vertAlign w:val="superscript"/>
          <w:lang w:eastAsia="en-US"/>
        </w:rPr>
        <w:footnoteReference w:id="1"/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  <w:r w:rsidRPr="00A812C3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61"/>
        <w:gridCol w:w="2327"/>
        <w:gridCol w:w="2323"/>
      </w:tblGrid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Variables en la ecuación</w:t>
            </w:r>
          </w:p>
        </w:tc>
        <w:tc>
          <w:tcPr>
            <w:tcW w:w="126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Tasa de riesgo</w:t>
            </w:r>
          </w:p>
        </w:tc>
        <w:tc>
          <w:tcPr>
            <w:tcW w:w="126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Error estándar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Hombre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0,807***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0,005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Mujer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Cohortes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40-55 años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0,304***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0,003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30-39 años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0,114***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0,001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16-29 años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Tiempo de trabajo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Tiempo completo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0,769***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0,006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Tiempo parcial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de contrato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Indefinido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sz w:val="20"/>
                <w:szCs w:val="20"/>
              </w:rPr>
              <w:t>0,214***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Temporal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trabajo + cualificación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Manual cualif. media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0,940***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0,010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Manual cualif. Alta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0,908***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0,009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baja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0,941***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0,009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media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0,821***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0,008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alta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0,821***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0,009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Ref. Manual cualif. baja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Edad al primer empleo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30-45 años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0,437***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0,005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Menos de 30 años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0,169***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0,002</w:t>
            </w:r>
          </w:p>
        </w:tc>
      </w:tr>
      <w:tr w:rsidR="003062BF" w:rsidRPr="00A812C3" w:rsidTr="00DF5CA2">
        <w:trPr>
          <w:cantSplit/>
          <w:trHeight w:val="284"/>
        </w:trPr>
        <w:tc>
          <w:tcPr>
            <w:tcW w:w="247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más de 45 años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062BF" w:rsidRPr="00563DC2" w:rsidRDefault="003062BF" w:rsidP="003062B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*** Significatividad al 1%    </w:t>
      </w: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05F70">
        <w:rPr>
          <w:rFonts w:ascii="Times New Roman" w:hAnsi="Times New Roman"/>
          <w:b/>
          <w:sz w:val="20"/>
          <w:szCs w:val="20"/>
        </w:rPr>
        <w:t>Fuente: Elaboración propia, a partir de la MCVL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Tabla III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 Variables que explican la probabilidad de no continuar en el mismo episodio de empleo (hombres)</w:t>
      </w:r>
    </w:p>
    <w:tbl>
      <w:tblPr>
        <w:tblW w:w="5066" w:type="pct"/>
        <w:tblCellMar>
          <w:left w:w="70" w:type="dxa"/>
          <w:right w:w="70" w:type="dxa"/>
        </w:tblCellMar>
        <w:tblLook w:val="04A0"/>
      </w:tblPr>
      <w:tblGrid>
        <w:gridCol w:w="4119"/>
        <w:gridCol w:w="2608"/>
        <w:gridCol w:w="2606"/>
      </w:tblGrid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Variables en la ecuación</w:t>
            </w:r>
          </w:p>
        </w:tc>
        <w:tc>
          <w:tcPr>
            <w:tcW w:w="1397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Tasa de riesgo</w:t>
            </w:r>
          </w:p>
        </w:tc>
        <w:tc>
          <w:tcPr>
            <w:tcW w:w="1396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Error estándar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Cohortes</w:t>
            </w:r>
          </w:p>
        </w:tc>
        <w:tc>
          <w:tcPr>
            <w:tcW w:w="1397" w:type="pct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40-55 años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0,294***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0,004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30-39 años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0,110***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0,002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Ref: 16-29 años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Tiempo de trabajo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Tiempo completo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0,801***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0,011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Ref: Tiempo parcial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de contrato</w:t>
            </w:r>
          </w:p>
        </w:tc>
        <w:tc>
          <w:tcPr>
            <w:tcW w:w="139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Indefinido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0,207***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0,002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Ref: Temporal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trabajo + cualificación</w:t>
            </w:r>
          </w:p>
        </w:tc>
        <w:tc>
          <w:tcPr>
            <w:tcW w:w="139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Manual cualif. media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0,892***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Manual cualif. alta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0,879***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0,010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 manual cualif. baja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0,936***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0,015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 manual cualif. media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0,824***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0,011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 manual cualif. alta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0,834***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Ref. Manual cualif. baja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Edad al primer empleo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30-45 años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0,428***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0,006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Menos de 30 años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0,154***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0,003</w:t>
            </w:r>
          </w:p>
        </w:tc>
      </w:tr>
      <w:tr w:rsidR="003062BF" w:rsidRPr="00A812C3" w:rsidTr="00DF5CA2">
        <w:trPr>
          <w:cantSplit/>
          <w:trHeight w:val="302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Ref: más de 45 años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062BF" w:rsidRPr="00563DC2" w:rsidRDefault="003062BF" w:rsidP="003062B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A812C3">
        <w:rPr>
          <w:rFonts w:ascii="Times New Roman" w:hAnsi="Times New Roman"/>
          <w:sz w:val="24"/>
          <w:szCs w:val="24"/>
          <w:vertAlign w:val="superscript"/>
        </w:rPr>
        <w:t xml:space="preserve">*** Significatividad al 1%    </w:t>
      </w: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Tabla IV</w:t>
      </w:r>
      <w:r w:rsidRPr="00A812C3">
        <w:rPr>
          <w:rFonts w:ascii="Times New Roman" w:eastAsia="Calibri" w:hAnsi="Times New Roman"/>
          <w:b/>
          <w:sz w:val="20"/>
          <w:szCs w:val="20"/>
          <w:lang w:eastAsia="en-US"/>
        </w:rPr>
        <w:t>. Variables que explican la probabilidad de no continuar en el mismo episodio de empleo (mujeres)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65"/>
        <w:gridCol w:w="2574"/>
        <w:gridCol w:w="2572"/>
      </w:tblGrid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Variables en la ecuación</w:t>
            </w:r>
          </w:p>
        </w:tc>
        <w:tc>
          <w:tcPr>
            <w:tcW w:w="1397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Tasa de riesgo</w:t>
            </w:r>
          </w:p>
        </w:tc>
        <w:tc>
          <w:tcPr>
            <w:tcW w:w="1396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Error estándar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Cohortes</w:t>
            </w:r>
          </w:p>
        </w:tc>
        <w:tc>
          <w:tcPr>
            <w:tcW w:w="1397" w:type="pct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40-55 años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0,318***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0,004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30-39 años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0,119***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0,002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16-29 años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Tiempo de trabajo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Tiempo completo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0,756***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0,007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Tiempo parcial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de contrato</w:t>
            </w:r>
          </w:p>
        </w:tc>
        <w:tc>
          <w:tcPr>
            <w:tcW w:w="139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Indefinido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0,222***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0,002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Temporal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Tipo trabajo + cualificación</w:t>
            </w:r>
          </w:p>
        </w:tc>
        <w:tc>
          <w:tcPr>
            <w:tcW w:w="139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Manual cualif. media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0,980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0,016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Manual cualif. alta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0,931***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0,017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baja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0,919***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0,012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media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0,789***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0,011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No manual cualif. alta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0,777***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0,012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B8CCE4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Ref. Manual cualif. baja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Edad al primer empleo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30-45 años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0,449***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0,008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Menos de 30 años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0,191***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0,004</w:t>
            </w:r>
          </w:p>
        </w:tc>
      </w:tr>
      <w:tr w:rsidR="003062BF" w:rsidRPr="00A812C3" w:rsidTr="008A7A86">
        <w:trPr>
          <w:cantSplit/>
          <w:trHeight w:val="284"/>
        </w:trPr>
        <w:tc>
          <w:tcPr>
            <w:tcW w:w="22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Ref: más de 45 años</w:t>
            </w:r>
          </w:p>
        </w:tc>
        <w:tc>
          <w:tcPr>
            <w:tcW w:w="13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bottom"/>
            <w:hideMark/>
          </w:tcPr>
          <w:p w:rsidR="003062BF" w:rsidRPr="00A812C3" w:rsidRDefault="003062BF" w:rsidP="008A7A86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12C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062BF" w:rsidRPr="00330A8B" w:rsidRDefault="003062BF" w:rsidP="003062B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330A8B">
        <w:rPr>
          <w:rFonts w:ascii="Times New Roman" w:hAnsi="Times New Roman"/>
          <w:sz w:val="24"/>
          <w:szCs w:val="24"/>
          <w:vertAlign w:val="superscript"/>
        </w:rPr>
        <w:t>*** Significatividad al 1%    ** Significatividad al 5%    * Significatividad al 10%</w:t>
      </w:r>
    </w:p>
    <w:p w:rsidR="003062BF" w:rsidRDefault="003062BF" w:rsidP="003062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1F497D"/>
          <w:sz w:val="20"/>
          <w:szCs w:val="20"/>
        </w:rPr>
      </w:pPr>
      <w:r w:rsidRPr="00505F70">
        <w:rPr>
          <w:rFonts w:ascii="Times New Roman" w:hAnsi="Times New Roman"/>
          <w:b/>
          <w:sz w:val="20"/>
          <w:szCs w:val="20"/>
        </w:rPr>
        <w:t>Fuente: Elaboración propia, a partir de la MCVL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187904" w:rsidRPr="00187904" w:rsidRDefault="00187904"/>
    <w:sectPr w:rsidR="00187904" w:rsidRPr="00187904" w:rsidSect="00DC2012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BF" w:rsidRDefault="003062BF" w:rsidP="003062BF">
      <w:pPr>
        <w:spacing w:after="0" w:line="240" w:lineRule="auto"/>
      </w:pPr>
      <w:r>
        <w:separator/>
      </w:r>
    </w:p>
  </w:endnote>
  <w:endnote w:type="continuationSeparator" w:id="0">
    <w:p w:rsidR="003062BF" w:rsidRDefault="003062BF" w:rsidP="0030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BF" w:rsidRDefault="003062BF" w:rsidP="003062BF">
      <w:pPr>
        <w:spacing w:after="0" w:line="240" w:lineRule="auto"/>
      </w:pPr>
      <w:r>
        <w:separator/>
      </w:r>
    </w:p>
  </w:footnote>
  <w:footnote w:type="continuationSeparator" w:id="0">
    <w:p w:rsidR="003062BF" w:rsidRDefault="003062BF" w:rsidP="003062BF">
      <w:pPr>
        <w:spacing w:after="0" w:line="240" w:lineRule="auto"/>
      </w:pPr>
      <w:r>
        <w:continuationSeparator/>
      </w:r>
    </w:p>
  </w:footnote>
  <w:footnote w:id="1">
    <w:p w:rsidR="003062BF" w:rsidRPr="00F96E31" w:rsidRDefault="003062BF" w:rsidP="003062BF">
      <w:pPr>
        <w:pStyle w:val="Textonotapie"/>
        <w:jc w:val="both"/>
        <w:rPr>
          <w:i/>
          <w:sz w:val="18"/>
          <w:szCs w:val="18"/>
        </w:rPr>
      </w:pPr>
      <w:r w:rsidRPr="00F96E31">
        <w:rPr>
          <w:rStyle w:val="Refdenotaalpie"/>
          <w:sz w:val="18"/>
          <w:szCs w:val="18"/>
        </w:rPr>
        <w:footnoteRef/>
      </w:r>
      <w:r w:rsidRPr="00F96E31">
        <w:rPr>
          <w:sz w:val="18"/>
          <w:szCs w:val="18"/>
        </w:rPr>
        <w:t xml:space="preserve"> En ésta y las siguientes tablas se ha eliminado dentro de la variable </w:t>
      </w:r>
      <w:r w:rsidRPr="00F96E31">
        <w:rPr>
          <w:i/>
          <w:sz w:val="18"/>
          <w:szCs w:val="18"/>
        </w:rPr>
        <w:t>tipo de contrato</w:t>
      </w:r>
      <w:r w:rsidRPr="00F96E31">
        <w:rPr>
          <w:sz w:val="18"/>
          <w:szCs w:val="18"/>
        </w:rPr>
        <w:t xml:space="preserve"> la categoría “autónomo”. La razón es que no hay autónomos asalariados y esto producía problemas de colinealidad al cruzar esta variable con </w:t>
      </w:r>
      <w:r w:rsidRPr="00F96E31">
        <w:rPr>
          <w:i/>
          <w:sz w:val="18"/>
          <w:szCs w:val="18"/>
        </w:rPr>
        <w:t>tipo de trabajo</w:t>
      </w:r>
      <w:r w:rsidRPr="00F96E31">
        <w:rPr>
          <w:sz w:val="18"/>
          <w:szCs w:val="18"/>
        </w:rPr>
        <w:t xml:space="preserve">. En todo caso, las proporciones de los coeficientes que se obtienen no se ven alteradas con esta supresión. </w:t>
      </w:r>
      <w:r w:rsidRPr="00F96E31">
        <w:rPr>
          <w:i/>
          <w:sz w:val="18"/>
          <w:szCs w:val="18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904"/>
    <w:rsid w:val="001803DD"/>
    <w:rsid w:val="00187904"/>
    <w:rsid w:val="001F027F"/>
    <w:rsid w:val="003062BF"/>
    <w:rsid w:val="003C19EB"/>
    <w:rsid w:val="00422961"/>
    <w:rsid w:val="00837FBC"/>
    <w:rsid w:val="00942FEA"/>
    <w:rsid w:val="00B8104B"/>
    <w:rsid w:val="00BE526F"/>
    <w:rsid w:val="00C52DF7"/>
    <w:rsid w:val="00DC2012"/>
    <w:rsid w:val="00E2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904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904"/>
    <w:rPr>
      <w:rFonts w:ascii="Tahoma" w:hAnsi="Tahoma" w:cs="Tahoma"/>
      <w:sz w:val="16"/>
      <w:szCs w:val="16"/>
      <w:lang w:val="en-GB"/>
    </w:rPr>
  </w:style>
  <w:style w:type="paragraph" w:styleId="Textonotapie">
    <w:name w:val="footnote text"/>
    <w:basedOn w:val="Normal"/>
    <w:link w:val="TextonotapieCar"/>
    <w:uiPriority w:val="99"/>
    <w:rsid w:val="003062BF"/>
    <w:pPr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062BF"/>
    <w:rPr>
      <w:rFonts w:ascii="Calibri" w:eastAsia="Calibri" w:hAnsi="Calibri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3062B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593</Words>
  <Characters>3266</Characters>
  <Application>Microsoft Office Word</Application>
  <DocSecurity>0</DocSecurity>
  <Lines>27</Lines>
  <Paragraphs>7</Paragraphs>
  <ScaleCrop>false</ScaleCrop>
  <Company>Seresco S.A.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2</cp:revision>
  <dcterms:created xsi:type="dcterms:W3CDTF">2014-08-12T23:02:00Z</dcterms:created>
  <dcterms:modified xsi:type="dcterms:W3CDTF">2016-01-11T16:38:00Z</dcterms:modified>
</cp:coreProperties>
</file>