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6C" w:rsidRPr="003329D3" w:rsidRDefault="003329D3">
      <w:pPr>
        <w:rPr>
          <w:b/>
        </w:rPr>
      </w:pPr>
      <w:r w:rsidRPr="003329D3">
        <w:rPr>
          <w:b/>
        </w:rPr>
        <w:t>TABLAS</w:t>
      </w:r>
    </w:p>
    <w:p w:rsidR="003329D3" w:rsidRDefault="003329D3"/>
    <w:p w:rsidR="003329D3" w:rsidRPr="00B85C77" w:rsidRDefault="003329D3" w:rsidP="003329D3">
      <w:pPr>
        <w:autoSpaceDE w:val="0"/>
        <w:autoSpaceDN w:val="0"/>
        <w:adjustRightInd w:val="0"/>
        <w:jc w:val="center"/>
        <w:rPr>
          <w:b/>
          <w:bCs/>
        </w:rPr>
      </w:pPr>
      <w:r w:rsidRPr="00B85C77">
        <w:rPr>
          <w:b/>
          <w:bCs/>
          <w:noProof/>
        </w:rPr>
        <w:drawing>
          <wp:inline distT="0" distB="0" distL="0" distR="0" wp14:anchorId="4AF251B5" wp14:editId="4D3574FB">
            <wp:extent cx="3073400" cy="1422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D3" w:rsidRPr="00162939" w:rsidRDefault="003329D3" w:rsidP="003329D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62939">
        <w:rPr>
          <w:bCs/>
          <w:i/>
          <w:sz w:val="20"/>
          <w:szCs w:val="20"/>
        </w:rPr>
        <w:t>Tabla 13. Principales estadísticos de comprobación</w:t>
      </w:r>
      <w:r>
        <w:rPr>
          <w:bCs/>
          <w:i/>
          <w:sz w:val="20"/>
          <w:szCs w:val="20"/>
        </w:rPr>
        <w:t xml:space="preserve"> </w:t>
      </w:r>
      <w:r w:rsidRPr="00162939">
        <w:rPr>
          <w:bCs/>
          <w:i/>
          <w:sz w:val="20"/>
          <w:szCs w:val="20"/>
        </w:rPr>
        <w:t>sobre la idoneidad del análisis factorial</w:t>
      </w:r>
    </w:p>
    <w:p w:rsidR="003329D3" w:rsidRPr="00B85C77" w:rsidRDefault="003329D3" w:rsidP="003329D3">
      <w:pPr>
        <w:autoSpaceDE w:val="0"/>
        <w:autoSpaceDN w:val="0"/>
        <w:adjustRightInd w:val="0"/>
        <w:rPr>
          <w:b/>
          <w:bCs/>
        </w:rPr>
      </w:pPr>
    </w:p>
    <w:p w:rsidR="003329D3" w:rsidRDefault="003329D3"/>
    <w:p w:rsidR="003329D3" w:rsidRDefault="003329D3"/>
    <w:p w:rsidR="003329D3" w:rsidRPr="00B85C77" w:rsidRDefault="003329D3" w:rsidP="003329D3">
      <w:pPr>
        <w:autoSpaceDE w:val="0"/>
        <w:autoSpaceDN w:val="0"/>
        <w:adjustRightInd w:val="0"/>
        <w:jc w:val="center"/>
        <w:rPr>
          <w:b/>
          <w:bCs/>
        </w:rPr>
      </w:pPr>
      <w:r w:rsidRPr="00B85C77">
        <w:rPr>
          <w:b/>
          <w:bCs/>
        </w:rPr>
        <w:t xml:space="preserve">               </w:t>
      </w:r>
      <w:r w:rsidRPr="00B85C77">
        <w:rPr>
          <w:b/>
          <w:bCs/>
          <w:noProof/>
        </w:rPr>
        <w:drawing>
          <wp:inline distT="0" distB="0" distL="0" distR="0" wp14:anchorId="650FF20C" wp14:editId="2FC599A4">
            <wp:extent cx="3124200" cy="1308100"/>
            <wp:effectExtent l="0" t="0" r="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D3" w:rsidRPr="00162939" w:rsidRDefault="003329D3" w:rsidP="003329D3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62939">
        <w:rPr>
          <w:i/>
          <w:sz w:val="20"/>
          <w:szCs w:val="20"/>
        </w:rPr>
        <w:t xml:space="preserve">Tabla 14. </w:t>
      </w:r>
      <w:proofErr w:type="spellStart"/>
      <w:r w:rsidRPr="00162939">
        <w:rPr>
          <w:i/>
          <w:sz w:val="20"/>
          <w:szCs w:val="20"/>
        </w:rPr>
        <w:t>Comunalidades</w:t>
      </w:r>
      <w:proofErr w:type="spellEnd"/>
      <w:r w:rsidRPr="00162939">
        <w:rPr>
          <w:i/>
          <w:sz w:val="20"/>
          <w:szCs w:val="20"/>
        </w:rPr>
        <w:t xml:space="preserve"> obtenidas por las</w:t>
      </w:r>
      <w:r>
        <w:rPr>
          <w:i/>
          <w:sz w:val="20"/>
          <w:szCs w:val="20"/>
        </w:rPr>
        <w:t xml:space="preserve"> </w:t>
      </w:r>
      <w:r w:rsidRPr="00162939">
        <w:rPr>
          <w:i/>
          <w:sz w:val="20"/>
          <w:szCs w:val="20"/>
        </w:rPr>
        <w:t>variables contempladas en el análisis factorial.</w:t>
      </w:r>
    </w:p>
    <w:p w:rsidR="003329D3" w:rsidRPr="00B85C77" w:rsidRDefault="003329D3" w:rsidP="003329D3">
      <w:pPr>
        <w:autoSpaceDE w:val="0"/>
        <w:autoSpaceDN w:val="0"/>
        <w:adjustRightInd w:val="0"/>
        <w:rPr>
          <w:b/>
          <w:bCs/>
        </w:rPr>
      </w:pPr>
    </w:p>
    <w:p w:rsidR="003329D3" w:rsidRDefault="003329D3"/>
    <w:p w:rsidR="003329D3" w:rsidRPr="00B85C77" w:rsidRDefault="003329D3" w:rsidP="003329D3">
      <w:pPr>
        <w:autoSpaceDE w:val="0"/>
        <w:autoSpaceDN w:val="0"/>
        <w:adjustRightInd w:val="0"/>
        <w:jc w:val="center"/>
        <w:rPr>
          <w:b/>
          <w:bCs/>
        </w:rPr>
      </w:pPr>
      <w:r w:rsidRPr="00B85C77">
        <w:rPr>
          <w:b/>
          <w:bCs/>
          <w:noProof/>
        </w:rPr>
        <w:drawing>
          <wp:inline distT="0" distB="0" distL="0" distR="0" wp14:anchorId="4F27C4A6" wp14:editId="43B0006D">
            <wp:extent cx="5448300" cy="1460500"/>
            <wp:effectExtent l="0" t="0" r="12700" b="127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D3" w:rsidRPr="00162939" w:rsidRDefault="003329D3" w:rsidP="003329D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62939">
        <w:rPr>
          <w:bCs/>
          <w:i/>
          <w:sz w:val="20"/>
          <w:szCs w:val="20"/>
        </w:rPr>
        <w:t xml:space="preserve">Tabla 15. Valores propios y porcentajes de varianza explicados por </w:t>
      </w:r>
      <w:r>
        <w:rPr>
          <w:bCs/>
          <w:i/>
          <w:sz w:val="20"/>
          <w:szCs w:val="20"/>
        </w:rPr>
        <w:t xml:space="preserve">las dimensiones inferidas en la </w:t>
      </w:r>
      <w:r w:rsidRPr="00162939">
        <w:rPr>
          <w:bCs/>
          <w:i/>
          <w:sz w:val="20"/>
          <w:szCs w:val="20"/>
        </w:rPr>
        <w:t>solución factorial resultante</w:t>
      </w:r>
    </w:p>
    <w:p w:rsidR="003329D3" w:rsidRPr="00B85C77" w:rsidRDefault="003329D3" w:rsidP="003329D3">
      <w:pPr>
        <w:autoSpaceDE w:val="0"/>
        <w:autoSpaceDN w:val="0"/>
        <w:adjustRightInd w:val="0"/>
        <w:rPr>
          <w:bCs/>
        </w:rPr>
      </w:pPr>
    </w:p>
    <w:p w:rsidR="003329D3" w:rsidRDefault="003329D3"/>
    <w:p w:rsidR="003329D3" w:rsidRPr="00B85C77" w:rsidRDefault="003329D3" w:rsidP="003329D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571500</wp:posOffset>
                </wp:positionV>
                <wp:extent cx="342900" cy="571500"/>
                <wp:effectExtent l="0" t="0" r="38100" b="38100"/>
                <wp:wrapNone/>
                <wp:docPr id="3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07pt;margin-top:45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" filled="f"/>
            </w:pict>
          </mc:Fallback>
        </mc:AlternateContent>
      </w:r>
      <w:r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1028700</wp:posOffset>
                </wp:positionV>
                <wp:extent cx="457200" cy="342900"/>
                <wp:effectExtent l="0" t="0" r="25400" b="38100"/>
                <wp:wrapNone/>
                <wp:docPr id="3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52pt;margin-top:81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" filled="f"/>
            </w:pict>
          </mc:Fallback>
        </mc:AlternateContent>
      </w:r>
      <w:r w:rsidRPr="00B85C77">
        <w:rPr>
          <w:b/>
          <w:bCs/>
        </w:rPr>
        <w:t xml:space="preserve">           </w:t>
      </w:r>
      <w:r w:rsidRPr="00B85C77">
        <w:rPr>
          <w:b/>
          <w:bCs/>
          <w:noProof/>
        </w:rPr>
        <w:drawing>
          <wp:inline distT="0" distB="0" distL="0" distR="0" wp14:anchorId="618746E4" wp14:editId="1DB777D7">
            <wp:extent cx="3022600" cy="2006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D3" w:rsidRDefault="003329D3" w:rsidP="003329D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62939">
        <w:rPr>
          <w:bCs/>
          <w:i/>
          <w:sz w:val="20"/>
          <w:szCs w:val="20"/>
        </w:rPr>
        <w:t>Tabla 16. Matriz de componentes rotados.</w:t>
      </w:r>
      <w:r>
        <w:rPr>
          <w:bCs/>
          <w:i/>
          <w:sz w:val="20"/>
          <w:szCs w:val="20"/>
        </w:rPr>
        <w:t xml:space="preserve"> </w:t>
      </w:r>
      <w:r w:rsidRPr="00162939">
        <w:rPr>
          <w:bCs/>
          <w:i/>
          <w:sz w:val="20"/>
          <w:szCs w:val="20"/>
        </w:rPr>
        <w:t xml:space="preserve">Saturan aquellas correlaciones r ≥ </w:t>
      </w:r>
      <w:r w:rsidRPr="00162939">
        <w:rPr>
          <w:bCs/>
          <w:i/>
          <w:sz w:val="20"/>
          <w:szCs w:val="20"/>
        </w:rPr>
        <w:sym w:font="Symbol" w:char="F0B1"/>
      </w:r>
      <w:r w:rsidRPr="00162939">
        <w:rPr>
          <w:bCs/>
          <w:i/>
          <w:sz w:val="20"/>
          <w:szCs w:val="20"/>
        </w:rPr>
        <w:t>.35</w:t>
      </w:r>
      <w:r w:rsidRPr="00B85C77">
        <w:rPr>
          <w:bCs/>
          <w:sz w:val="20"/>
          <w:szCs w:val="20"/>
        </w:rPr>
        <w:t>.</w:t>
      </w:r>
    </w:p>
    <w:p w:rsidR="003329D3" w:rsidRDefault="003329D3" w:rsidP="003329D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3329D3" w:rsidRDefault="003329D3" w:rsidP="003329D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3329D3" w:rsidRDefault="003329D3" w:rsidP="003329D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1230"/>
        <w:gridCol w:w="472"/>
        <w:gridCol w:w="2756"/>
      </w:tblGrid>
      <w:tr w:rsidR="003329D3" w:rsidRPr="00AE777C" w:rsidTr="00E80E13">
        <w:trPr>
          <w:jc w:val="center"/>
        </w:trPr>
        <w:tc>
          <w:tcPr>
            <w:tcW w:w="3518" w:type="dxa"/>
            <w:shd w:val="clear" w:color="auto" w:fill="auto"/>
          </w:tcPr>
          <w:p w:rsidR="003329D3" w:rsidRPr="00AE777C" w:rsidRDefault="003329D3" w:rsidP="00E80E13">
            <w:pPr>
              <w:rPr>
                <w:b/>
                <w:sz w:val="20"/>
                <w:szCs w:val="20"/>
              </w:rPr>
            </w:pPr>
            <w:r w:rsidRPr="00AE777C">
              <w:rPr>
                <w:b/>
                <w:sz w:val="20"/>
                <w:szCs w:val="20"/>
              </w:rPr>
              <w:t>Binomio de variables confrontadas</w:t>
            </w:r>
          </w:p>
        </w:tc>
        <w:tc>
          <w:tcPr>
            <w:tcW w:w="1230" w:type="dxa"/>
            <w:shd w:val="clear" w:color="auto" w:fill="auto"/>
          </w:tcPr>
          <w:p w:rsidR="003329D3" w:rsidRPr="00AE777C" w:rsidRDefault="003329D3" w:rsidP="00E80E13">
            <w:pPr>
              <w:rPr>
                <w:b/>
                <w:sz w:val="20"/>
                <w:szCs w:val="20"/>
              </w:rPr>
            </w:pPr>
            <w:r w:rsidRPr="00AE777C">
              <w:rPr>
                <w:b/>
                <w:sz w:val="20"/>
                <w:szCs w:val="20"/>
              </w:rPr>
              <w:t xml:space="preserve">Valor de </w:t>
            </w:r>
            <w:r w:rsidRPr="00AE777C">
              <w:rPr>
                <w:b/>
                <w:sz w:val="20"/>
                <w:szCs w:val="20"/>
              </w:rPr>
              <w:sym w:font="Symbol" w:char="F063"/>
            </w:r>
            <w:r w:rsidRPr="00AE777C">
              <w:rPr>
                <w:b/>
                <w:sz w:val="20"/>
                <w:szCs w:val="20"/>
              </w:rPr>
              <w:t>²</w:t>
            </w:r>
          </w:p>
        </w:tc>
        <w:tc>
          <w:tcPr>
            <w:tcW w:w="472" w:type="dxa"/>
            <w:shd w:val="clear" w:color="auto" w:fill="auto"/>
          </w:tcPr>
          <w:p w:rsidR="003329D3" w:rsidRPr="00AE777C" w:rsidRDefault="003329D3" w:rsidP="00E80E13">
            <w:pPr>
              <w:rPr>
                <w:b/>
                <w:sz w:val="20"/>
                <w:szCs w:val="20"/>
              </w:rPr>
            </w:pPr>
            <w:proofErr w:type="spellStart"/>
            <w:r w:rsidRPr="00AE777C">
              <w:rPr>
                <w:b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3329D3" w:rsidRPr="00AE777C" w:rsidRDefault="003329D3" w:rsidP="00E80E13">
            <w:pPr>
              <w:rPr>
                <w:b/>
                <w:sz w:val="20"/>
                <w:szCs w:val="20"/>
              </w:rPr>
            </w:pPr>
            <w:r w:rsidRPr="00AE777C">
              <w:rPr>
                <w:b/>
                <w:sz w:val="20"/>
                <w:szCs w:val="20"/>
              </w:rPr>
              <w:t>Sig. asintótica bilateral</w:t>
            </w:r>
          </w:p>
        </w:tc>
      </w:tr>
      <w:tr w:rsidR="003329D3" w:rsidRPr="00AE777C" w:rsidTr="00E80E13">
        <w:trPr>
          <w:jc w:val="center"/>
        </w:trPr>
        <w:tc>
          <w:tcPr>
            <w:tcW w:w="3518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Edad vs Infantil</w:t>
            </w:r>
          </w:p>
        </w:tc>
        <w:tc>
          <w:tcPr>
            <w:tcW w:w="1230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17.8</w:t>
            </w:r>
          </w:p>
        </w:tc>
        <w:tc>
          <w:tcPr>
            <w:tcW w:w="472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.007</w:t>
            </w:r>
          </w:p>
        </w:tc>
      </w:tr>
      <w:tr w:rsidR="003329D3" w:rsidRPr="00AE777C" w:rsidTr="00E80E13">
        <w:trPr>
          <w:jc w:val="center"/>
        </w:trPr>
        <w:tc>
          <w:tcPr>
            <w:tcW w:w="3518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Experiencia  mayoritaria en los niveles educativos  vs Infantil</w:t>
            </w:r>
          </w:p>
        </w:tc>
        <w:tc>
          <w:tcPr>
            <w:tcW w:w="1230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25.03</w:t>
            </w:r>
          </w:p>
        </w:tc>
        <w:tc>
          <w:tcPr>
            <w:tcW w:w="472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.000</w:t>
            </w:r>
          </w:p>
        </w:tc>
      </w:tr>
      <w:tr w:rsidR="003329D3" w:rsidRPr="00AE777C" w:rsidTr="00E80E13">
        <w:trPr>
          <w:jc w:val="center"/>
        </w:trPr>
        <w:tc>
          <w:tcPr>
            <w:tcW w:w="3518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Experiencia  mayoritaria en los niveles educativos  vs Primaria</w:t>
            </w:r>
          </w:p>
        </w:tc>
        <w:tc>
          <w:tcPr>
            <w:tcW w:w="1230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15.82</w:t>
            </w:r>
          </w:p>
        </w:tc>
        <w:tc>
          <w:tcPr>
            <w:tcW w:w="472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.015</w:t>
            </w:r>
          </w:p>
        </w:tc>
      </w:tr>
      <w:tr w:rsidR="003329D3" w:rsidRPr="00AE777C" w:rsidTr="00E80E13">
        <w:trPr>
          <w:jc w:val="center"/>
        </w:trPr>
        <w:tc>
          <w:tcPr>
            <w:tcW w:w="3518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Experiencia  mayoritaria en los niveles educativos  vs F.P.</w:t>
            </w:r>
          </w:p>
        </w:tc>
        <w:tc>
          <w:tcPr>
            <w:tcW w:w="1230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17.03</w:t>
            </w:r>
          </w:p>
        </w:tc>
        <w:tc>
          <w:tcPr>
            <w:tcW w:w="472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3329D3" w:rsidRPr="00AE777C" w:rsidRDefault="003329D3" w:rsidP="00E80E13">
            <w:pPr>
              <w:rPr>
                <w:sz w:val="20"/>
                <w:szCs w:val="20"/>
              </w:rPr>
            </w:pPr>
            <w:r w:rsidRPr="00AE777C">
              <w:rPr>
                <w:sz w:val="20"/>
                <w:szCs w:val="20"/>
              </w:rPr>
              <w:t>.002</w:t>
            </w:r>
          </w:p>
        </w:tc>
      </w:tr>
    </w:tbl>
    <w:p w:rsidR="003329D3" w:rsidRPr="00F16FE2" w:rsidRDefault="003329D3" w:rsidP="003329D3">
      <w:pPr>
        <w:autoSpaceDE w:val="0"/>
        <w:autoSpaceDN w:val="0"/>
        <w:adjustRightInd w:val="0"/>
        <w:jc w:val="center"/>
        <w:rPr>
          <w:bCs/>
          <w:i/>
          <w:color w:val="000000"/>
          <w:sz w:val="20"/>
          <w:szCs w:val="20"/>
        </w:rPr>
      </w:pPr>
      <w:r w:rsidRPr="00F16FE2">
        <w:rPr>
          <w:bCs/>
          <w:i/>
          <w:color w:val="000000"/>
          <w:sz w:val="20"/>
          <w:szCs w:val="20"/>
        </w:rPr>
        <w:t>Tabla 17. Tablas de contingencia que han resultado estadísticamen</w:t>
      </w:r>
      <w:r>
        <w:rPr>
          <w:bCs/>
          <w:i/>
          <w:color w:val="000000"/>
          <w:sz w:val="20"/>
          <w:szCs w:val="20"/>
        </w:rPr>
        <w:t xml:space="preserve">te significativas al cruzar las </w:t>
      </w:r>
      <w:r w:rsidRPr="00F16FE2">
        <w:rPr>
          <w:bCs/>
          <w:i/>
          <w:color w:val="000000"/>
          <w:sz w:val="20"/>
          <w:szCs w:val="20"/>
        </w:rPr>
        <w:t>diferentes variables identificativas con los diferentes niveles educativos</w:t>
      </w:r>
    </w:p>
    <w:p w:rsidR="003329D3" w:rsidRPr="003329D3" w:rsidRDefault="003329D3" w:rsidP="003329D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</w:p>
    <w:p w:rsidR="003329D3" w:rsidRDefault="003329D3"/>
    <w:p w:rsidR="003329D3" w:rsidRPr="00B85C77" w:rsidRDefault="003329D3" w:rsidP="003329D3">
      <w:pPr>
        <w:autoSpaceDE w:val="0"/>
        <w:autoSpaceDN w:val="0"/>
        <w:adjustRightInd w:val="0"/>
        <w:jc w:val="center"/>
        <w:rPr>
          <w:b/>
          <w:bCs/>
        </w:rPr>
      </w:pPr>
      <w:r w:rsidRPr="00B85C77">
        <w:rPr>
          <w:b/>
          <w:bCs/>
          <w:noProof/>
        </w:rPr>
        <w:drawing>
          <wp:inline distT="0" distB="0" distL="0" distR="0" wp14:anchorId="49264CBB" wp14:editId="5D5A879C">
            <wp:extent cx="5219700" cy="1778000"/>
            <wp:effectExtent l="0" t="0" r="1270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D3" w:rsidRPr="00F16FE2" w:rsidRDefault="003329D3" w:rsidP="003329D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6FE2">
        <w:rPr>
          <w:bCs/>
          <w:i/>
          <w:sz w:val="20"/>
          <w:szCs w:val="20"/>
        </w:rPr>
        <w:t>Tabla 18. Resumen del modelo de correspondencias simples inferido referido a las variables edad vs Necesidad de implantación de la cultura de riesgos laborales en el Nivel de Infantil</w:t>
      </w:r>
    </w:p>
    <w:p w:rsidR="003329D3" w:rsidRPr="00B85C77" w:rsidRDefault="003329D3" w:rsidP="003329D3">
      <w:pPr>
        <w:autoSpaceDE w:val="0"/>
        <w:autoSpaceDN w:val="0"/>
        <w:adjustRightInd w:val="0"/>
        <w:rPr>
          <w:bCs/>
        </w:rPr>
      </w:pPr>
    </w:p>
    <w:p w:rsidR="003329D3" w:rsidRDefault="003329D3"/>
    <w:p w:rsidR="003329D3" w:rsidRDefault="003329D3"/>
    <w:p w:rsidR="003329D3" w:rsidRPr="00B85C77" w:rsidRDefault="003329D3" w:rsidP="003329D3">
      <w:pPr>
        <w:autoSpaceDE w:val="0"/>
        <w:autoSpaceDN w:val="0"/>
        <w:adjustRightInd w:val="0"/>
        <w:jc w:val="center"/>
        <w:rPr>
          <w:bCs/>
        </w:rPr>
      </w:pPr>
      <w:r w:rsidRPr="00B85C77">
        <w:rPr>
          <w:b/>
          <w:bCs/>
          <w:noProof/>
        </w:rPr>
        <w:drawing>
          <wp:inline distT="0" distB="0" distL="0" distR="0" wp14:anchorId="00E2DE3B" wp14:editId="1A743063">
            <wp:extent cx="5219700" cy="1714500"/>
            <wp:effectExtent l="0" t="0" r="1270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D3" w:rsidRPr="00F16FE2" w:rsidRDefault="003329D3" w:rsidP="003329D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6FE2">
        <w:rPr>
          <w:bCs/>
          <w:i/>
          <w:sz w:val="20"/>
          <w:szCs w:val="20"/>
        </w:rPr>
        <w:t>Tabla 19. Resumen del modelo de correspondencias simples inferido referido a las variables niveles educativos de experiencia docente mayoritaria y g</w:t>
      </w:r>
      <w:r>
        <w:rPr>
          <w:bCs/>
          <w:i/>
          <w:sz w:val="20"/>
          <w:szCs w:val="20"/>
        </w:rPr>
        <w:t xml:space="preserve">rado de necesidad </w:t>
      </w:r>
      <w:r w:rsidRPr="00F16FE2">
        <w:rPr>
          <w:bCs/>
          <w:i/>
          <w:sz w:val="20"/>
          <w:szCs w:val="20"/>
        </w:rPr>
        <w:t>de prevención en Infantil</w:t>
      </w:r>
    </w:p>
    <w:p w:rsidR="003329D3" w:rsidRDefault="003329D3" w:rsidP="003329D3">
      <w:pPr>
        <w:autoSpaceDE w:val="0"/>
        <w:autoSpaceDN w:val="0"/>
        <w:adjustRightInd w:val="0"/>
        <w:jc w:val="both"/>
        <w:rPr>
          <w:bCs/>
        </w:rPr>
      </w:pPr>
    </w:p>
    <w:p w:rsidR="003329D3" w:rsidRDefault="003329D3"/>
    <w:p w:rsidR="003329D3" w:rsidRDefault="003329D3"/>
    <w:p w:rsidR="003329D3" w:rsidRPr="00B85C77" w:rsidRDefault="003329D3" w:rsidP="003329D3">
      <w:pPr>
        <w:autoSpaceDE w:val="0"/>
        <w:autoSpaceDN w:val="0"/>
        <w:adjustRightInd w:val="0"/>
        <w:jc w:val="center"/>
        <w:rPr>
          <w:b/>
          <w:bCs/>
        </w:rPr>
      </w:pPr>
      <w:r w:rsidRPr="00B85C77">
        <w:rPr>
          <w:b/>
          <w:bCs/>
          <w:noProof/>
        </w:rPr>
        <w:drawing>
          <wp:inline distT="0" distB="0" distL="0" distR="0" wp14:anchorId="494534AE" wp14:editId="7F02D41E">
            <wp:extent cx="5219700" cy="1663700"/>
            <wp:effectExtent l="0" t="0" r="12700" b="127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D3" w:rsidRPr="002C5534" w:rsidRDefault="003329D3" w:rsidP="003329D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2C5534">
        <w:rPr>
          <w:bCs/>
          <w:i/>
          <w:sz w:val="20"/>
          <w:szCs w:val="20"/>
        </w:rPr>
        <w:t xml:space="preserve">Tabla 20. Resumen del modelo de correspondencias simples inferido referido a las variables niveles educativos de experiencia docente mayoritaria y grado de necesidad de </w:t>
      </w:r>
      <w:proofErr w:type="spellStart"/>
      <w:r w:rsidRPr="002C5534">
        <w:rPr>
          <w:bCs/>
          <w:i/>
          <w:sz w:val="20"/>
          <w:szCs w:val="20"/>
        </w:rPr>
        <w:t>de</w:t>
      </w:r>
      <w:proofErr w:type="spellEnd"/>
      <w:r w:rsidRPr="002C5534">
        <w:rPr>
          <w:bCs/>
          <w:i/>
          <w:sz w:val="20"/>
          <w:szCs w:val="20"/>
        </w:rPr>
        <w:t xml:space="preserve"> la prevención en Primaria</w:t>
      </w:r>
    </w:p>
    <w:p w:rsidR="003329D3" w:rsidRPr="00B85C77" w:rsidRDefault="003329D3" w:rsidP="003329D3">
      <w:pPr>
        <w:autoSpaceDE w:val="0"/>
        <w:autoSpaceDN w:val="0"/>
        <w:adjustRightInd w:val="0"/>
        <w:rPr>
          <w:bCs/>
        </w:rPr>
      </w:pPr>
    </w:p>
    <w:p w:rsidR="003329D3" w:rsidRDefault="003329D3"/>
    <w:p w:rsidR="003329D3" w:rsidRDefault="003329D3"/>
    <w:p w:rsidR="003329D3" w:rsidRPr="00B85C77" w:rsidRDefault="003329D3" w:rsidP="003329D3">
      <w:pPr>
        <w:autoSpaceDE w:val="0"/>
        <w:autoSpaceDN w:val="0"/>
        <w:adjustRightInd w:val="0"/>
        <w:jc w:val="center"/>
        <w:rPr>
          <w:b/>
          <w:bCs/>
        </w:rPr>
      </w:pPr>
      <w:r w:rsidRPr="00B85C77">
        <w:rPr>
          <w:b/>
          <w:bCs/>
          <w:noProof/>
        </w:rPr>
        <w:drawing>
          <wp:inline distT="0" distB="0" distL="0" distR="0" wp14:anchorId="4759D7A6" wp14:editId="5CB2D884">
            <wp:extent cx="4774740" cy="1661795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697" cy="16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D3" w:rsidRPr="002C5534" w:rsidRDefault="003329D3" w:rsidP="003329D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2C5534">
        <w:rPr>
          <w:bCs/>
          <w:i/>
          <w:sz w:val="20"/>
          <w:szCs w:val="20"/>
        </w:rPr>
        <w:t xml:space="preserve">Tabla 21. Resumen del modelo de correspondencias simples inferido </w:t>
      </w:r>
      <w:r>
        <w:rPr>
          <w:bCs/>
          <w:i/>
          <w:sz w:val="20"/>
          <w:szCs w:val="20"/>
        </w:rPr>
        <w:t>a variable</w:t>
      </w:r>
      <w:r w:rsidRPr="002C5534">
        <w:rPr>
          <w:bCs/>
          <w:i/>
          <w:sz w:val="20"/>
          <w:szCs w:val="20"/>
        </w:rPr>
        <w:t xml:space="preserve"> niveles educativos de experiencia docente mayoritaria y grado de </w:t>
      </w:r>
      <w:r>
        <w:rPr>
          <w:bCs/>
          <w:i/>
          <w:sz w:val="20"/>
          <w:szCs w:val="20"/>
        </w:rPr>
        <w:t xml:space="preserve">necesidad  implantación </w:t>
      </w:r>
      <w:r w:rsidRPr="002C5534">
        <w:rPr>
          <w:bCs/>
          <w:i/>
          <w:sz w:val="20"/>
          <w:szCs w:val="20"/>
        </w:rPr>
        <w:t>cultura de riesgos laborales en FP</w:t>
      </w:r>
    </w:p>
    <w:p w:rsidR="003329D3" w:rsidRDefault="003329D3">
      <w:bookmarkStart w:id="0" w:name="_GoBack"/>
      <w:bookmarkEnd w:id="0"/>
    </w:p>
    <w:sectPr w:rsidR="003329D3" w:rsidSect="00BB18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D3"/>
    <w:rsid w:val="003329D3"/>
    <w:rsid w:val="00BB18A6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956A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9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9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1483</Characters>
  <Application>Microsoft Macintosh Word</Application>
  <DocSecurity>0</DocSecurity>
  <Lines>12</Lines>
  <Paragraphs>3</Paragraphs>
  <ScaleCrop>false</ScaleCrop>
  <Company>Universidad de Granada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Burgos</dc:creator>
  <cp:keywords/>
  <dc:description/>
  <cp:lastModifiedBy>Antonio Burgos</cp:lastModifiedBy>
  <cp:revision>1</cp:revision>
  <dcterms:created xsi:type="dcterms:W3CDTF">2014-04-01T11:12:00Z</dcterms:created>
  <dcterms:modified xsi:type="dcterms:W3CDTF">2014-04-01T11:15:00Z</dcterms:modified>
</cp:coreProperties>
</file>