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5E" w:rsidRPr="003426BF" w:rsidRDefault="0089625E" w:rsidP="0089625E">
      <w:pPr>
        <w:pStyle w:val="Epgrafe"/>
        <w:spacing w:after="0"/>
        <w:rPr>
          <w:b w:val="0"/>
          <w:color w:val="auto"/>
          <w:sz w:val="24"/>
          <w:szCs w:val="24"/>
          <w:lang w:val="es-ES"/>
        </w:rPr>
      </w:pPr>
      <w:bookmarkStart w:id="0" w:name="_Toc262721506"/>
      <w:r w:rsidRPr="003426BF">
        <w:rPr>
          <w:color w:val="auto"/>
          <w:sz w:val="24"/>
          <w:szCs w:val="24"/>
        </w:rPr>
        <w:t>Tabla 1</w:t>
      </w:r>
      <w:r w:rsidRPr="003426BF">
        <w:rPr>
          <w:color w:val="auto"/>
          <w:sz w:val="24"/>
          <w:szCs w:val="24"/>
          <w:lang w:val="es-ES"/>
        </w:rPr>
        <w:t>.</w:t>
      </w:r>
      <w:r w:rsidRPr="003426BF">
        <w:rPr>
          <w:b w:val="0"/>
          <w:color w:val="auto"/>
          <w:sz w:val="24"/>
          <w:szCs w:val="24"/>
          <w:lang w:val="es-ES"/>
        </w:rPr>
        <w:t xml:space="preserve"> Típico viaje extenso únicamente a España (12 días, incluyendo el viaje en avión)</w:t>
      </w:r>
      <w:bookmarkEnd w:id="0"/>
    </w:p>
    <w:p w:rsidR="0089625E" w:rsidRPr="003426BF" w:rsidRDefault="0089625E" w:rsidP="0089625E"/>
    <w:tbl>
      <w:tblPr>
        <w:tblStyle w:val="Listaclara"/>
        <w:tblW w:w="0" w:type="auto"/>
        <w:tblLook w:val="04A0"/>
      </w:tblPr>
      <w:tblGrid>
        <w:gridCol w:w="1951"/>
        <w:gridCol w:w="6565"/>
      </w:tblGrid>
      <w:tr w:rsidR="0089625E" w:rsidRPr="003426BF" w:rsidTr="003309B4">
        <w:trPr>
          <w:cnfStyle w:val="100000000000"/>
        </w:trPr>
        <w:tc>
          <w:tcPr>
            <w:cnfStyle w:val="001000000000"/>
            <w:tcW w:w="1951" w:type="dxa"/>
          </w:tcPr>
          <w:p w:rsidR="0089625E" w:rsidRPr="003426BF" w:rsidRDefault="0089625E" w:rsidP="00810CF6">
            <w:pPr>
              <w:spacing w:before="60"/>
              <w:jc w:val="both"/>
              <w:rPr>
                <w:lang w:val="es-ES"/>
              </w:rPr>
            </w:pPr>
            <w:r w:rsidRPr="003426BF">
              <w:rPr>
                <w:lang w:val="es-ES"/>
              </w:rPr>
              <w:t>Ciudad</w:t>
            </w:r>
          </w:p>
        </w:tc>
        <w:tc>
          <w:tcPr>
            <w:tcW w:w="6565" w:type="dxa"/>
          </w:tcPr>
          <w:p w:rsidR="0089625E" w:rsidRPr="003426BF" w:rsidRDefault="0089625E" w:rsidP="00810CF6">
            <w:pPr>
              <w:spacing w:before="60"/>
              <w:jc w:val="both"/>
              <w:cnfStyle w:val="100000000000"/>
              <w:rPr>
                <w:lang w:val="es-ES"/>
              </w:rPr>
            </w:pPr>
            <w:r w:rsidRPr="003426BF">
              <w:rPr>
                <w:lang w:val="es-ES"/>
              </w:rPr>
              <w:t>Itinerario</w:t>
            </w:r>
          </w:p>
        </w:tc>
      </w:tr>
      <w:tr w:rsidR="0089625E" w:rsidRPr="003426BF" w:rsidTr="003309B4">
        <w:trPr>
          <w:cnfStyle w:val="000000100000"/>
        </w:trPr>
        <w:tc>
          <w:tcPr>
            <w:cnfStyle w:val="001000000000"/>
            <w:tcW w:w="1951" w:type="dxa"/>
          </w:tcPr>
          <w:p w:rsidR="0089625E" w:rsidRPr="003426BF" w:rsidRDefault="0089625E" w:rsidP="00810CF6">
            <w:pPr>
              <w:spacing w:before="60"/>
              <w:jc w:val="both"/>
              <w:rPr>
                <w:b w:val="0"/>
                <w:lang w:val="es-ES"/>
              </w:rPr>
            </w:pPr>
            <w:r w:rsidRPr="003426BF">
              <w:rPr>
                <w:b w:val="0"/>
                <w:lang w:val="es-ES"/>
              </w:rPr>
              <w:t>Mérida (1 día)</w:t>
            </w:r>
          </w:p>
        </w:tc>
        <w:tc>
          <w:tcPr>
            <w:tcW w:w="6565" w:type="dxa"/>
          </w:tcPr>
          <w:p w:rsidR="0089625E" w:rsidRPr="003426BF" w:rsidRDefault="0089625E" w:rsidP="00810CF6">
            <w:pPr>
              <w:spacing w:before="60"/>
              <w:jc w:val="both"/>
              <w:cnfStyle w:val="000000100000"/>
              <w:rPr>
                <w:lang w:val="es-ES"/>
              </w:rPr>
            </w:pPr>
            <w:r w:rsidRPr="003426BF">
              <w:rPr>
                <w:lang w:val="es-ES"/>
              </w:rPr>
              <w:t>Patrimonio Romano.</w:t>
            </w:r>
          </w:p>
        </w:tc>
      </w:tr>
      <w:tr w:rsidR="0089625E" w:rsidRPr="003426BF" w:rsidTr="003309B4">
        <w:tc>
          <w:tcPr>
            <w:cnfStyle w:val="001000000000"/>
            <w:tcW w:w="1951" w:type="dxa"/>
          </w:tcPr>
          <w:p w:rsidR="0089625E" w:rsidRPr="003426BF" w:rsidRDefault="0089625E" w:rsidP="00810CF6">
            <w:pPr>
              <w:spacing w:before="60"/>
              <w:jc w:val="both"/>
              <w:rPr>
                <w:b w:val="0"/>
                <w:lang w:val="es-ES"/>
              </w:rPr>
            </w:pPr>
            <w:r w:rsidRPr="003426BF">
              <w:rPr>
                <w:b w:val="0"/>
                <w:lang w:val="es-ES"/>
              </w:rPr>
              <w:t>Sevilla (1 día)</w:t>
            </w:r>
          </w:p>
        </w:tc>
        <w:tc>
          <w:tcPr>
            <w:tcW w:w="6565" w:type="dxa"/>
          </w:tcPr>
          <w:p w:rsidR="0089625E" w:rsidRPr="003426BF" w:rsidRDefault="0089625E" w:rsidP="00810CF6">
            <w:pPr>
              <w:spacing w:before="60"/>
              <w:jc w:val="both"/>
              <w:cnfStyle w:val="000000000000"/>
              <w:rPr>
                <w:lang w:val="es-ES"/>
              </w:rPr>
            </w:pPr>
            <w:r w:rsidRPr="003426BF">
              <w:rPr>
                <w:lang w:val="es-ES"/>
              </w:rPr>
              <w:t>Casco histórico, Plaza España, Iglesia de Sevilla, espectáculo de flamenco, parque de María Luisa.</w:t>
            </w:r>
          </w:p>
        </w:tc>
      </w:tr>
      <w:tr w:rsidR="0089625E" w:rsidRPr="003426BF" w:rsidTr="003309B4">
        <w:trPr>
          <w:cnfStyle w:val="000000100000"/>
        </w:trPr>
        <w:tc>
          <w:tcPr>
            <w:cnfStyle w:val="001000000000"/>
            <w:tcW w:w="1951" w:type="dxa"/>
          </w:tcPr>
          <w:p w:rsidR="0089625E" w:rsidRPr="003426BF" w:rsidRDefault="0089625E" w:rsidP="00810CF6">
            <w:pPr>
              <w:spacing w:before="60"/>
              <w:jc w:val="both"/>
              <w:rPr>
                <w:b w:val="0"/>
                <w:lang w:val="es-ES"/>
              </w:rPr>
            </w:pPr>
            <w:r w:rsidRPr="003426BF">
              <w:rPr>
                <w:b w:val="0"/>
                <w:lang w:val="es-ES"/>
              </w:rPr>
              <w:t>Ronda (1/2 día)</w:t>
            </w:r>
          </w:p>
        </w:tc>
        <w:tc>
          <w:tcPr>
            <w:tcW w:w="6565" w:type="dxa"/>
          </w:tcPr>
          <w:p w:rsidR="0089625E" w:rsidRPr="003426BF" w:rsidRDefault="0089625E" w:rsidP="00810CF6">
            <w:pPr>
              <w:spacing w:before="60"/>
              <w:jc w:val="both"/>
              <w:cnfStyle w:val="000000100000"/>
              <w:rPr>
                <w:lang w:val="es-ES"/>
              </w:rPr>
            </w:pPr>
            <w:r w:rsidRPr="003426BF">
              <w:rPr>
                <w:lang w:val="es-ES"/>
              </w:rPr>
              <w:t>Puente nuevo, patrimonio urbanístico.</w:t>
            </w:r>
          </w:p>
        </w:tc>
      </w:tr>
      <w:tr w:rsidR="0089625E" w:rsidRPr="003426BF" w:rsidTr="003309B4">
        <w:tc>
          <w:tcPr>
            <w:cnfStyle w:val="001000000000"/>
            <w:tcW w:w="1951" w:type="dxa"/>
          </w:tcPr>
          <w:p w:rsidR="0089625E" w:rsidRPr="003426BF" w:rsidRDefault="0089625E" w:rsidP="00810CF6">
            <w:pPr>
              <w:spacing w:before="60"/>
              <w:jc w:val="both"/>
              <w:rPr>
                <w:b w:val="0"/>
                <w:lang w:val="es-ES"/>
              </w:rPr>
            </w:pPr>
            <w:r w:rsidRPr="003426BF">
              <w:rPr>
                <w:b w:val="0"/>
                <w:lang w:val="es-ES"/>
              </w:rPr>
              <w:t>Granada (1día)</w:t>
            </w:r>
          </w:p>
        </w:tc>
        <w:tc>
          <w:tcPr>
            <w:tcW w:w="6565" w:type="dxa"/>
          </w:tcPr>
          <w:p w:rsidR="0089625E" w:rsidRPr="003426BF" w:rsidRDefault="0089625E" w:rsidP="00810CF6">
            <w:pPr>
              <w:spacing w:before="60"/>
              <w:jc w:val="both"/>
              <w:cnfStyle w:val="000000000000"/>
              <w:rPr>
                <w:lang w:val="es-ES"/>
              </w:rPr>
            </w:pPr>
            <w:r w:rsidRPr="003426BF">
              <w:rPr>
                <w:lang w:val="es-ES"/>
              </w:rPr>
              <w:t>La Alhambra y la ciudad.</w:t>
            </w:r>
          </w:p>
        </w:tc>
      </w:tr>
      <w:tr w:rsidR="0089625E" w:rsidRPr="003426BF" w:rsidTr="003309B4">
        <w:trPr>
          <w:cnfStyle w:val="000000100000"/>
        </w:trPr>
        <w:tc>
          <w:tcPr>
            <w:cnfStyle w:val="001000000000"/>
            <w:tcW w:w="1951" w:type="dxa"/>
          </w:tcPr>
          <w:p w:rsidR="0089625E" w:rsidRPr="003426BF" w:rsidRDefault="0089625E" w:rsidP="00810CF6">
            <w:pPr>
              <w:spacing w:before="60"/>
              <w:jc w:val="both"/>
              <w:rPr>
                <w:b w:val="0"/>
                <w:lang w:val="es-ES"/>
              </w:rPr>
            </w:pPr>
            <w:r w:rsidRPr="003426BF">
              <w:rPr>
                <w:b w:val="0"/>
                <w:lang w:val="es-ES"/>
              </w:rPr>
              <w:t>Córdoba (1/2 día)</w:t>
            </w:r>
          </w:p>
        </w:tc>
        <w:tc>
          <w:tcPr>
            <w:tcW w:w="6565" w:type="dxa"/>
          </w:tcPr>
          <w:p w:rsidR="0089625E" w:rsidRPr="003426BF" w:rsidRDefault="0089625E" w:rsidP="00810CF6">
            <w:pPr>
              <w:spacing w:before="60"/>
              <w:jc w:val="both"/>
              <w:cnfStyle w:val="000000100000"/>
              <w:rPr>
                <w:lang w:val="es-ES"/>
              </w:rPr>
            </w:pPr>
            <w:r w:rsidRPr="003426BF">
              <w:rPr>
                <w:lang w:val="es-ES"/>
              </w:rPr>
              <w:t>Templo romano de Córdoba, puente romano, patrimonio histórico.</w:t>
            </w:r>
          </w:p>
        </w:tc>
      </w:tr>
      <w:tr w:rsidR="0089625E" w:rsidRPr="003426BF" w:rsidTr="003309B4">
        <w:tc>
          <w:tcPr>
            <w:cnfStyle w:val="001000000000"/>
            <w:tcW w:w="1951" w:type="dxa"/>
          </w:tcPr>
          <w:p w:rsidR="0089625E" w:rsidRPr="003426BF" w:rsidRDefault="0089625E" w:rsidP="00810CF6">
            <w:pPr>
              <w:spacing w:before="60"/>
              <w:jc w:val="both"/>
              <w:rPr>
                <w:b w:val="0"/>
                <w:lang w:val="es-ES"/>
              </w:rPr>
            </w:pPr>
            <w:r w:rsidRPr="003426BF">
              <w:rPr>
                <w:b w:val="0"/>
                <w:lang w:val="es-ES"/>
              </w:rPr>
              <w:t>Toledo (1 día)</w:t>
            </w:r>
          </w:p>
        </w:tc>
        <w:tc>
          <w:tcPr>
            <w:tcW w:w="6565" w:type="dxa"/>
          </w:tcPr>
          <w:p w:rsidR="0089625E" w:rsidRPr="003426BF" w:rsidRDefault="0089625E" w:rsidP="00810CF6">
            <w:pPr>
              <w:spacing w:before="60"/>
              <w:jc w:val="both"/>
              <w:cnfStyle w:val="000000000000"/>
              <w:rPr>
                <w:lang w:val="es-ES"/>
              </w:rPr>
            </w:pPr>
            <w:r w:rsidRPr="003426BF">
              <w:rPr>
                <w:lang w:val="es-ES"/>
              </w:rPr>
              <w:t>Puerta Bisagra, Monasterio de San Juan de los Reyes y Catedral de Sta. María.</w:t>
            </w:r>
          </w:p>
        </w:tc>
      </w:tr>
      <w:tr w:rsidR="0089625E" w:rsidRPr="003426BF" w:rsidTr="003309B4">
        <w:trPr>
          <w:cnfStyle w:val="000000100000"/>
        </w:trPr>
        <w:tc>
          <w:tcPr>
            <w:cnfStyle w:val="001000000000"/>
            <w:tcW w:w="1951" w:type="dxa"/>
          </w:tcPr>
          <w:p w:rsidR="0089625E" w:rsidRPr="003426BF" w:rsidRDefault="0089625E" w:rsidP="00810CF6">
            <w:pPr>
              <w:spacing w:before="60"/>
              <w:jc w:val="both"/>
              <w:rPr>
                <w:b w:val="0"/>
                <w:lang w:val="es-ES"/>
              </w:rPr>
            </w:pPr>
            <w:r w:rsidRPr="003426BF">
              <w:rPr>
                <w:b w:val="0"/>
                <w:lang w:val="es-ES"/>
              </w:rPr>
              <w:t>Madrid (1 día)</w:t>
            </w:r>
          </w:p>
        </w:tc>
        <w:tc>
          <w:tcPr>
            <w:tcW w:w="6565" w:type="dxa"/>
          </w:tcPr>
          <w:p w:rsidR="0089625E" w:rsidRPr="003426BF" w:rsidRDefault="0089625E" w:rsidP="00810CF6">
            <w:pPr>
              <w:spacing w:before="60"/>
              <w:jc w:val="both"/>
              <w:cnfStyle w:val="000000100000"/>
              <w:rPr>
                <w:lang w:val="es-ES"/>
              </w:rPr>
            </w:pPr>
            <w:r w:rsidRPr="003426BF">
              <w:rPr>
                <w:lang w:val="es-ES"/>
              </w:rPr>
              <w:t xml:space="preserve">Gran Vía, Puerta del Sol, plaza de Colón, Puerta de Alcalá, Estadio del Bernabéu y compra de suvenires. </w:t>
            </w:r>
          </w:p>
        </w:tc>
      </w:tr>
      <w:tr w:rsidR="0089625E" w:rsidRPr="003426BF" w:rsidTr="003309B4">
        <w:tc>
          <w:tcPr>
            <w:cnfStyle w:val="001000000000"/>
            <w:tcW w:w="1951" w:type="dxa"/>
          </w:tcPr>
          <w:p w:rsidR="0089625E" w:rsidRPr="003426BF" w:rsidRDefault="0089625E" w:rsidP="00810CF6">
            <w:pPr>
              <w:spacing w:before="60"/>
              <w:jc w:val="both"/>
              <w:rPr>
                <w:b w:val="0"/>
                <w:lang w:val="es-ES"/>
              </w:rPr>
            </w:pPr>
            <w:r w:rsidRPr="003426BF">
              <w:rPr>
                <w:b w:val="0"/>
                <w:lang w:val="es-ES"/>
              </w:rPr>
              <w:t>Segovia (1 día)</w:t>
            </w:r>
          </w:p>
        </w:tc>
        <w:tc>
          <w:tcPr>
            <w:tcW w:w="6565" w:type="dxa"/>
          </w:tcPr>
          <w:p w:rsidR="0089625E" w:rsidRPr="003426BF" w:rsidRDefault="0089625E" w:rsidP="00810CF6">
            <w:pPr>
              <w:spacing w:before="60"/>
              <w:jc w:val="both"/>
              <w:cnfStyle w:val="000000000000"/>
              <w:rPr>
                <w:lang w:val="es-ES"/>
              </w:rPr>
            </w:pPr>
            <w:r w:rsidRPr="003426BF">
              <w:rPr>
                <w:lang w:val="es-ES"/>
              </w:rPr>
              <w:t>Acueducto romano, catedral, castillo de Alcázar.</w:t>
            </w:r>
          </w:p>
        </w:tc>
      </w:tr>
      <w:tr w:rsidR="0089625E" w:rsidRPr="003426BF" w:rsidTr="003309B4">
        <w:trPr>
          <w:cnfStyle w:val="000000100000"/>
        </w:trPr>
        <w:tc>
          <w:tcPr>
            <w:cnfStyle w:val="001000000000"/>
            <w:tcW w:w="1951" w:type="dxa"/>
          </w:tcPr>
          <w:p w:rsidR="0089625E" w:rsidRPr="003426BF" w:rsidRDefault="0089625E" w:rsidP="00810CF6">
            <w:pPr>
              <w:spacing w:before="60"/>
              <w:jc w:val="both"/>
              <w:rPr>
                <w:b w:val="0"/>
                <w:lang w:val="es-ES"/>
              </w:rPr>
            </w:pPr>
            <w:r w:rsidRPr="003426BF">
              <w:rPr>
                <w:b w:val="0"/>
                <w:lang w:val="es-ES"/>
              </w:rPr>
              <w:t>Madrid (1 día)</w:t>
            </w:r>
          </w:p>
        </w:tc>
        <w:tc>
          <w:tcPr>
            <w:tcW w:w="6565" w:type="dxa"/>
          </w:tcPr>
          <w:p w:rsidR="0089625E" w:rsidRPr="003426BF" w:rsidRDefault="0089625E" w:rsidP="00810CF6">
            <w:pPr>
              <w:spacing w:before="60"/>
              <w:jc w:val="both"/>
              <w:cnfStyle w:val="000000100000"/>
              <w:rPr>
                <w:lang w:val="es-ES"/>
              </w:rPr>
            </w:pPr>
            <w:r w:rsidRPr="003426BF">
              <w:rPr>
                <w:lang w:val="es-ES"/>
              </w:rPr>
              <w:t>Palacio Real y viaje en AVE a Barcelona.</w:t>
            </w:r>
          </w:p>
        </w:tc>
      </w:tr>
      <w:tr w:rsidR="0089625E" w:rsidRPr="003426BF" w:rsidTr="003309B4">
        <w:tc>
          <w:tcPr>
            <w:cnfStyle w:val="001000000000"/>
            <w:tcW w:w="1951" w:type="dxa"/>
          </w:tcPr>
          <w:p w:rsidR="0089625E" w:rsidRPr="003426BF" w:rsidRDefault="0089625E" w:rsidP="00810CF6">
            <w:pPr>
              <w:spacing w:before="60"/>
              <w:jc w:val="both"/>
              <w:rPr>
                <w:b w:val="0"/>
                <w:lang w:val="es-ES"/>
              </w:rPr>
            </w:pPr>
            <w:r w:rsidRPr="003426BF">
              <w:rPr>
                <w:b w:val="0"/>
                <w:lang w:val="es-ES"/>
              </w:rPr>
              <w:t>Barcelona (3 días)</w:t>
            </w:r>
          </w:p>
        </w:tc>
        <w:tc>
          <w:tcPr>
            <w:tcW w:w="6565" w:type="dxa"/>
          </w:tcPr>
          <w:p w:rsidR="0089625E" w:rsidRPr="003426BF" w:rsidRDefault="0089625E" w:rsidP="00810CF6">
            <w:pPr>
              <w:spacing w:before="60"/>
              <w:jc w:val="both"/>
              <w:cnfStyle w:val="000000000000"/>
              <w:rPr>
                <w:lang w:val="es-ES"/>
              </w:rPr>
            </w:pPr>
            <w:r w:rsidRPr="003426BF">
              <w:rPr>
                <w:lang w:val="es-ES"/>
              </w:rPr>
              <w:t xml:space="preserve">Parque Güell, Sagrada Familia, La Roca Village, un día </w:t>
            </w:r>
            <w:r w:rsidR="003D6149">
              <w:rPr>
                <w:lang w:val="es-ES"/>
              </w:rPr>
              <w:t>libre, Las Ramblas, Paseo de Gra</w:t>
            </w:r>
            <w:bookmarkStart w:id="1" w:name="_GoBack"/>
            <w:bookmarkEnd w:id="1"/>
            <w:r w:rsidRPr="003426BF">
              <w:rPr>
                <w:lang w:val="es-ES"/>
              </w:rPr>
              <w:t>cia.</w:t>
            </w:r>
          </w:p>
        </w:tc>
      </w:tr>
    </w:tbl>
    <w:p w:rsidR="0089625E" w:rsidRPr="003426BF" w:rsidRDefault="0089625E" w:rsidP="0089625E">
      <w:pPr>
        <w:jc w:val="both"/>
        <w:rPr>
          <w:lang w:val="es-ES"/>
        </w:rPr>
      </w:pPr>
    </w:p>
    <w:p w:rsidR="0089625E" w:rsidRPr="003426BF" w:rsidRDefault="0089625E" w:rsidP="0089625E">
      <w:pPr>
        <w:jc w:val="both"/>
        <w:rPr>
          <w:sz w:val="20"/>
          <w:szCs w:val="20"/>
          <w:lang w:val="es-ES"/>
        </w:rPr>
      </w:pPr>
      <w:r w:rsidRPr="003426BF">
        <w:rPr>
          <w:sz w:val="20"/>
          <w:szCs w:val="20"/>
          <w:lang w:val="es-ES"/>
        </w:rPr>
        <w:t>Fuente: Elaboración propia a partir de la información de CITS. Explicación del producto: «Un viaje en profundidad por España en 12 días» (</w:t>
      </w:r>
      <w:r w:rsidRPr="003426BF">
        <w:rPr>
          <w:sz w:val="20"/>
          <w:szCs w:val="20"/>
          <w:lang w:val="es-ES"/>
        </w:rPr>
        <w:t>西班牙一地</w:t>
      </w:r>
      <w:r w:rsidRPr="003426BF">
        <w:rPr>
          <w:sz w:val="20"/>
          <w:szCs w:val="20"/>
          <w:lang w:val="es-ES"/>
        </w:rPr>
        <w:t>12</w:t>
      </w:r>
      <w:r w:rsidRPr="003426BF">
        <w:rPr>
          <w:sz w:val="20"/>
          <w:szCs w:val="20"/>
          <w:lang w:val="es-ES"/>
        </w:rPr>
        <w:t>日深度游</w:t>
      </w:r>
      <w:r w:rsidRPr="003426BF">
        <w:rPr>
          <w:sz w:val="20"/>
          <w:szCs w:val="20"/>
          <w:lang w:val="es-ES"/>
        </w:rPr>
        <w:t>), disponible en: &lt;</w:t>
      </w:r>
      <w:hyperlink r:id="rId4" w:history="1">
        <w:r w:rsidRPr="003426BF">
          <w:rPr>
            <w:rStyle w:val="Hipervnculo"/>
            <w:sz w:val="20"/>
            <w:szCs w:val="20"/>
            <w:lang w:val="es-ES"/>
          </w:rPr>
          <w:t>http://www.cits.com.cn/cits/teamtravel/outbound/detail/04001282862.html?visa_city=</w:t>
        </w:r>
        <w:r w:rsidRPr="003426BF">
          <w:rPr>
            <w:rStyle w:val="Hipervnculo"/>
            <w:sz w:val="20"/>
            <w:szCs w:val="20"/>
            <w:lang w:val="es-ES"/>
          </w:rPr>
          <w:t>北京</w:t>
        </w:r>
      </w:hyperlink>
      <w:r w:rsidRPr="003426BF">
        <w:rPr>
          <w:sz w:val="20"/>
          <w:szCs w:val="20"/>
          <w:lang w:val="es-ES"/>
        </w:rPr>
        <w:t>&gt; [consulta: 7  mayo 2014].</w:t>
      </w:r>
    </w:p>
    <w:p w:rsidR="00BD077F" w:rsidRPr="003426BF" w:rsidRDefault="00BD077F">
      <w:pPr>
        <w:rPr>
          <w:sz w:val="20"/>
          <w:szCs w:val="20"/>
        </w:rPr>
      </w:pPr>
    </w:p>
    <w:p w:rsidR="0089625E" w:rsidRDefault="0089625E"/>
    <w:sectPr w:rsidR="0089625E" w:rsidSect="00FB2D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>
    <w:useFELayout/>
  </w:compat>
  <w:rsids>
    <w:rsidRoot w:val="0089625E"/>
    <w:rsid w:val="001E4395"/>
    <w:rsid w:val="003309B4"/>
    <w:rsid w:val="003426BF"/>
    <w:rsid w:val="003D6149"/>
    <w:rsid w:val="004B0527"/>
    <w:rsid w:val="0089625E"/>
    <w:rsid w:val="00BD077F"/>
    <w:rsid w:val="00FB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25E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89625E"/>
    <w:pPr>
      <w:spacing w:after="200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9625E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89625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">
    <w:name w:val="Light List"/>
    <w:basedOn w:val="Tablanormal"/>
    <w:uiPriority w:val="61"/>
    <w:rsid w:val="003309B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25E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Llegenda">
    <w:name w:val="caption"/>
    <w:basedOn w:val="Normal"/>
    <w:next w:val="Normal"/>
    <w:uiPriority w:val="35"/>
    <w:unhideWhenUsed/>
    <w:qFormat/>
    <w:rsid w:val="0089625E"/>
    <w:pPr>
      <w:spacing w:after="200"/>
    </w:pPr>
    <w:rPr>
      <w:b/>
      <w:bCs/>
      <w:color w:val="4F81BD" w:themeColor="accent1"/>
      <w:sz w:val="18"/>
      <w:szCs w:val="18"/>
    </w:rPr>
  </w:style>
  <w:style w:type="character" w:styleId="Enlla">
    <w:name w:val="Hyperlink"/>
    <w:basedOn w:val="Tipusdelletraperdefectedelpargraf"/>
    <w:uiPriority w:val="99"/>
    <w:unhideWhenUsed/>
    <w:rsid w:val="0089625E"/>
    <w:rPr>
      <w:color w:val="0000FF" w:themeColor="hyperlink"/>
      <w:u w:val="single"/>
    </w:rPr>
  </w:style>
  <w:style w:type="table" w:styleId="Llistaclaramfasi1">
    <w:name w:val="Light List Accent 1"/>
    <w:basedOn w:val="Taulanormal"/>
    <w:uiPriority w:val="61"/>
    <w:rsid w:val="0089625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listaclara">
    <w:name w:val="Light List"/>
    <w:basedOn w:val="Taulanormal"/>
    <w:uiPriority w:val="61"/>
    <w:rsid w:val="003309B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s.com.cn/cits/teamtravel/outbound/detail/04001282862.html?visa_city=&#21271;&#2014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</dc:creator>
  <cp:lastModifiedBy>Renovi</cp:lastModifiedBy>
  <cp:revision>2</cp:revision>
  <dcterms:created xsi:type="dcterms:W3CDTF">2015-03-03T13:41:00Z</dcterms:created>
  <dcterms:modified xsi:type="dcterms:W3CDTF">2015-03-03T13:41:00Z</dcterms:modified>
</cp:coreProperties>
</file>